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spacing w:before="480" w:after="480" w:line="891" w:lineRule="atLeast"/>
        <w:jc w:val="both"/>
        <w:rPr>
          <w:outline w:val="0"/>
          <w:color w:val="1f4e79"/>
          <w:sz w:val="22"/>
          <w:szCs w:val="22"/>
          <w:u w:color="1f4e79"/>
          <w14:textFill>
            <w14:solidFill>
              <w14:srgbClr w14:val="1F4E79"/>
            </w14:solidFill>
          </w14:textFill>
        </w:rPr>
      </w:pPr>
      <w:r>
        <w:rPr>
          <w:outline w:val="0"/>
          <w:color w:val="1f4e79"/>
          <w:sz w:val="22"/>
          <w:szCs w:val="22"/>
          <w:u w:color="1f4e79"/>
          <w:rtl w:val="0"/>
          <w:lang w:val="it-IT"/>
          <w14:textFill>
            <w14:solidFill>
              <w14:srgbClr w14:val="1F4E79"/>
            </w14:solidFill>
          </w14:textFill>
        </w:rPr>
        <w:t xml:space="preserve">Whistleblowing - Segnalazione Illeciti </w:t>
      </w:r>
    </w:p>
    <w:p>
      <w:pPr>
        <w:pStyle w:val="done"/>
        <w:shd w:val="clear" w:color="auto" w:fill="ffffff"/>
        <w:spacing w:before="0"/>
        <w:jc w:val="both"/>
        <w:rPr>
          <w:outline w:val="0"/>
          <w:color w:val="323e4f"/>
          <w:spacing w:val="0"/>
          <w:sz w:val="20"/>
          <w:szCs w:val="20"/>
          <w:u w:color="323e4f"/>
          <w14:textFill>
            <w14:solidFill>
              <w14:srgbClr w14:val="323E4F"/>
            </w14:solidFill>
          </w14:textFill>
        </w:rPr>
      </w:pPr>
      <w:r>
        <w:rPr>
          <w:outline w:val="0"/>
          <w:color w:val="212529"/>
          <w:spacing w:val="0"/>
          <w:sz w:val="20"/>
          <w:szCs w:val="20"/>
          <w:u w:color="212529"/>
          <w:rtl w:val="0"/>
          <w:lang w:val="it-IT"/>
          <w14:textFill>
            <w14:solidFill>
              <w14:srgbClr w14:val="212529"/>
            </w14:solidFill>
          </w14:textFill>
        </w:rPr>
        <w:t> </w:t>
      </w:r>
      <w:r>
        <w:rPr>
          <w:outline w:val="0"/>
          <w:color w:val="323e4f"/>
          <w:spacing w:val="0"/>
          <w:sz w:val="20"/>
          <w:szCs w:val="20"/>
          <w:u w:color="323e4f"/>
          <w:rtl w:val="0"/>
          <w:lang w:val="it-IT"/>
          <w14:textFill>
            <w14:solidFill>
              <w14:srgbClr w14:val="323E4F"/>
            </w14:solidFill>
          </w14:textFill>
        </w:rPr>
        <w:t>Sul tema whistleblowing erano stati gi</w:t>
      </w:r>
      <w:r>
        <w:rPr>
          <w:outline w:val="0"/>
          <w:color w:val="323e4f"/>
          <w:spacing w:val="0"/>
          <w:sz w:val="20"/>
          <w:szCs w:val="20"/>
          <w:u w:color="323e4f"/>
          <w:rtl w:val="0"/>
          <w:lang w:val="it-IT"/>
          <w14:textFill>
            <w14:solidFill>
              <w14:srgbClr w14:val="323E4F"/>
            </w14:solidFill>
          </w14:textFill>
        </w:rPr>
        <w:t xml:space="preserve">à </w:t>
      </w:r>
      <w:r>
        <w:rPr>
          <w:outline w:val="0"/>
          <w:color w:val="323e4f"/>
          <w:spacing w:val="0"/>
          <w:sz w:val="20"/>
          <w:szCs w:val="20"/>
          <w:u w:color="323e4f"/>
          <w:rtl w:val="0"/>
          <w:lang w:val="it-IT"/>
          <w14:textFill>
            <w14:solidFill>
              <w14:srgbClr w14:val="323E4F"/>
            </w14:solidFill>
          </w14:textFill>
        </w:rPr>
        <w:t>emanati numerosi provvedimenti legislativi, dal d.lgs 165/ 2001,</w:t>
      </w:r>
      <w:r>
        <w:rPr>
          <w:outline w:val="0"/>
          <w:color w:val="323e4f"/>
          <w:spacing w:val="0"/>
          <w:sz w:val="20"/>
          <w:szCs w:val="20"/>
          <w:u w:color="323e4f"/>
          <w:rtl w:val="0"/>
          <w:lang w:val="it-IT"/>
          <w14:textFill>
            <w14:solidFill>
              <w14:srgbClr w14:val="323E4F"/>
            </w14:solidFill>
          </w14:textFill>
        </w:rPr>
        <w:t> </w:t>
      </w:r>
      <w:r>
        <w:rPr>
          <w:outline w:val="0"/>
          <w:color w:val="323e4f"/>
          <w:spacing w:val="0"/>
          <w:sz w:val="20"/>
          <w:szCs w:val="20"/>
          <w:u w:color="323e4f"/>
          <w:rtl w:val="0"/>
          <w:lang w:val="it-IT"/>
          <w14:textFill>
            <w14:solidFill>
              <w14:srgbClr w14:val="323E4F"/>
            </w14:solidFill>
          </w14:textFill>
        </w:rPr>
        <w:t>alla Legge n.190/2010, fino alla</w:t>
      </w:r>
      <w:r>
        <w:rPr>
          <w:rStyle w:val="Hyperlink.0"/>
        </w:rPr>
        <w:fldChar w:fldCharType="begin" w:fldLock="0"/>
      </w:r>
      <w:r>
        <w:rPr>
          <w:rStyle w:val="Hyperlink.0"/>
        </w:rPr>
        <w:instrText xml:space="preserve"> HYPERLINK "https://www.fiscoetasse.com/files/6732/legge-del-30112017-179.pdf"</w:instrText>
      </w:r>
      <w:r>
        <w:rPr>
          <w:rStyle w:val="Hyperlink.0"/>
        </w:rPr>
        <w:fldChar w:fldCharType="separate" w:fldLock="0"/>
      </w:r>
      <w:r>
        <w:rPr>
          <w:rStyle w:val="Hyperlink.0"/>
          <w:rtl w:val="0"/>
          <w:lang w:val="it-IT"/>
        </w:rPr>
        <w:t xml:space="preserve">  </w:t>
      </w:r>
      <w:r>
        <w:rPr>
          <w:rStyle w:val="Hyperlink.0"/>
          <w:rtl w:val="0"/>
          <w:lang w:val="it-IT"/>
        </w:rPr>
        <w:t>Legge del 30 novembre 2017 n. 179 .</w:t>
      </w:r>
      <w:r>
        <w:rPr/>
        <w:fldChar w:fldCharType="end" w:fldLock="0"/>
      </w:r>
      <w:r>
        <w:rPr>
          <w:outline w:val="0"/>
          <w:color w:val="323e4f"/>
          <w:sz w:val="20"/>
          <w:szCs w:val="20"/>
          <w:u w:color="323e4f"/>
          <w:rtl w:val="0"/>
          <w:lang w:val="it-IT"/>
          <w14:textFill>
            <w14:solidFill>
              <w14:srgbClr w14:val="323E4F"/>
            </w14:solidFill>
          </w14:textFill>
        </w:rPr>
        <w:t xml:space="preserve">Il D.lgs 10 marzo 2023, n. 24, recante </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w:t>
      </w:r>
      <w:r>
        <w:rPr>
          <w:outline w:val="0"/>
          <w:color w:val="323e4f"/>
          <w:spacing w:val="0"/>
          <w:sz w:val="20"/>
          <w:szCs w:val="20"/>
          <w:u w:color="323e4f"/>
          <w:rtl w:val="0"/>
          <w:lang w:val="it-IT"/>
          <w14:textFill>
            <w14:solidFill>
              <w14:srgbClr w14:val="323E4F"/>
            </w14:solidFill>
          </w14:textFill>
        </w:rPr>
        <w:t xml:space="preserve"> recepisce la Direttiva comunitaria n. 2019/1937 che, oltre a fornire ulteriori  indicazioni per la protezione dei lavoratori nell</w:t>
      </w:r>
      <w:r>
        <w:rPr>
          <w:outline w:val="0"/>
          <w:color w:val="323e4f"/>
          <w:spacing w:val="0"/>
          <w:sz w:val="20"/>
          <w:szCs w:val="20"/>
          <w:u w:color="323e4f"/>
          <w:rtl w:val="0"/>
          <w:lang w:val="it-IT"/>
          <w14:textFill>
            <w14:solidFill>
              <w14:srgbClr w14:val="323E4F"/>
            </w14:solidFill>
          </w14:textFill>
        </w:rPr>
        <w:t>’</w:t>
      </w:r>
      <w:r>
        <w:rPr>
          <w:outline w:val="0"/>
          <w:color w:val="323e4f"/>
          <w:spacing w:val="0"/>
          <w:sz w:val="20"/>
          <w:szCs w:val="20"/>
          <w:u w:color="323e4f"/>
          <w:rtl w:val="0"/>
          <w:lang w:val="it-IT"/>
          <w14:textFill>
            <w14:solidFill>
              <w14:srgbClr w14:val="323E4F"/>
            </w14:solidFill>
          </w14:textFill>
        </w:rPr>
        <w:t>ambito sia pubblico sia privato</w:t>
      </w:r>
      <w:r>
        <w:rPr>
          <w:b w:val="1"/>
          <w:bCs w:val="1"/>
          <w:outline w:val="0"/>
          <w:color w:val="323e4f"/>
          <w:spacing w:val="0"/>
          <w:sz w:val="20"/>
          <w:szCs w:val="20"/>
          <w:u w:color="323e4f"/>
          <w:rtl w:val="0"/>
          <w:lang w:val="it-IT"/>
          <w14:textFill>
            <w14:solidFill>
              <w14:srgbClr w14:val="323E4F"/>
            </w14:solidFill>
          </w14:textFill>
        </w:rPr>
        <w:t xml:space="preserve">, </w:t>
      </w:r>
      <w:r>
        <w:rPr>
          <w:outline w:val="0"/>
          <w:color w:val="323e4f"/>
          <w:spacing w:val="0"/>
          <w:sz w:val="20"/>
          <w:szCs w:val="20"/>
          <w:u w:color="323e4f"/>
          <w:rtl w:val="0"/>
          <w:lang w:val="it-IT"/>
          <w14:textFill>
            <w14:solidFill>
              <w14:srgbClr w14:val="323E4F"/>
            </w14:solidFill>
          </w14:textFill>
        </w:rPr>
        <w:t>ha</w:t>
      </w:r>
      <w:r>
        <w:rPr>
          <w:outline w:val="0"/>
          <w:color w:val="323e4f"/>
          <w:spacing w:val="0"/>
          <w:sz w:val="20"/>
          <w:szCs w:val="20"/>
          <w:u w:color="323e4f"/>
          <w:rtl w:val="0"/>
          <w:lang w:val="it-IT"/>
          <w14:textFill>
            <w14:solidFill>
              <w14:srgbClr w14:val="323E4F"/>
            </w14:solidFill>
          </w14:textFill>
        </w:rPr>
        <w:t> </w:t>
      </w:r>
      <w:r>
        <w:rPr>
          <w:outline w:val="0"/>
          <w:color w:val="323e4f"/>
          <w:spacing w:val="0"/>
          <w:sz w:val="20"/>
          <w:szCs w:val="20"/>
          <w:u w:color="323e4f"/>
          <w:rtl w:val="0"/>
          <w:lang w:val="it-IT"/>
          <w14:textFill>
            <w14:solidFill>
              <w14:srgbClr w14:val="323E4F"/>
            </w14:solidFill>
          </w14:textFill>
        </w:rPr>
        <w:t> </w:t>
      </w:r>
      <w:r>
        <w:rPr>
          <w:outline w:val="0"/>
          <w:color w:val="323e4f"/>
          <w:spacing w:val="0"/>
          <w:sz w:val="20"/>
          <w:szCs w:val="20"/>
          <w:u w:color="323e4f"/>
          <w:rtl w:val="0"/>
          <w:lang w:val="it-IT"/>
          <w14:textFill>
            <w14:solidFill>
              <w14:srgbClr w14:val="323E4F"/>
            </w14:solidFill>
          </w14:textFill>
        </w:rPr>
        <w:t xml:space="preserve">obbligato </w:t>
      </w:r>
      <w:r>
        <w:rPr>
          <w:outline w:val="0"/>
          <w:color w:val="323e4f"/>
          <w:spacing w:val="0"/>
          <w:sz w:val="20"/>
          <w:szCs w:val="20"/>
          <w:u w:color="323e4f"/>
          <w:rtl w:val="0"/>
          <w:lang w:val="it-IT"/>
          <w14:textFill>
            <w14:solidFill>
              <w14:srgbClr w14:val="323E4F"/>
            </w14:solidFill>
          </w14:textFill>
        </w:rPr>
        <w:t> </w:t>
      </w:r>
      <w:r>
        <w:rPr>
          <w:outline w:val="0"/>
          <w:color w:val="323e4f"/>
          <w:spacing w:val="0"/>
          <w:sz w:val="20"/>
          <w:szCs w:val="20"/>
          <w:u w:color="323e4f"/>
          <w:rtl w:val="0"/>
          <w:lang w:val="it-IT"/>
          <w14:textFill>
            <w14:solidFill>
              <w14:srgbClr w14:val="323E4F"/>
            </w14:solidFill>
          </w14:textFill>
        </w:rPr>
        <w:t xml:space="preserve">gli Stati </w:t>
      </w:r>
      <w:r>
        <w:rPr>
          <w:outline w:val="0"/>
          <w:color w:val="323e4f"/>
          <w:spacing w:val="0"/>
          <w:sz w:val="20"/>
          <w:szCs w:val="20"/>
          <w:u w:color="323e4f"/>
          <w:rtl w:val="0"/>
          <w:lang w:val="it-IT"/>
          <w14:textFill>
            <w14:solidFill>
              <w14:srgbClr w14:val="323E4F"/>
            </w14:solidFill>
          </w14:textFill>
        </w:rPr>
        <w:t> </w:t>
      </w:r>
      <w:r>
        <w:rPr>
          <w:outline w:val="0"/>
          <w:color w:val="323e4f"/>
          <w:spacing w:val="0"/>
          <w:sz w:val="20"/>
          <w:szCs w:val="20"/>
          <w:u w:color="323e4f"/>
          <w:rtl w:val="0"/>
          <w:lang w:val="it-IT"/>
          <w14:textFill>
            <w14:solidFill>
              <w14:srgbClr w14:val="323E4F"/>
            </w14:solidFill>
          </w14:textFill>
        </w:rPr>
        <w:t>membri ad emanare specifiche norme nazionali.</w:t>
      </w:r>
      <w:r>
        <w:rPr>
          <w:outline w:val="0"/>
          <w:color w:val="323e4f"/>
          <w:spacing w:val="0"/>
          <w:sz w:val="20"/>
          <w:szCs w:val="20"/>
          <w:u w:color="323e4f"/>
          <w:rtl w:val="0"/>
          <w:lang w:val="it-IT"/>
          <w14:textFill>
            <w14:solidFill>
              <w14:srgbClr w14:val="323E4F"/>
            </w14:solidFill>
          </w14:textFill>
        </w:rPr>
        <w:t xml:space="preserve"> Anac ha emanato proprie Linee guida di cui alle Delibere n. 311/2023, n.478/2025,479/2025 come integrate dal d.lgs. n.211/2025.</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 xml:space="preserve">I soggetti ai quali si applica la disciplina del whistleblowing, ai sensi della nuova formulazione del d.lgs. 24/2023 al quale si rimanda in toto, sono:   </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a) i dipendenti della societ</w:t>
      </w:r>
      <w:r>
        <w:rPr>
          <w:outline w:val="0"/>
          <w:color w:val="323e4f"/>
          <w:sz w:val="20"/>
          <w:szCs w:val="20"/>
          <w:u w:color="323e4f"/>
          <w:rtl w:val="0"/>
          <w:lang w:val="it-IT"/>
          <w14:textFill>
            <w14:solidFill>
              <w14:srgbClr w14:val="323E4F"/>
            </w14:solidFill>
          </w14:textFill>
        </w:rPr>
        <w:t>à</w:t>
      </w:r>
      <w:r>
        <w:rPr>
          <w:outline w:val="0"/>
          <w:color w:val="323e4f"/>
          <w:sz w:val="20"/>
          <w:szCs w:val="20"/>
          <w:u w:color="323e4f"/>
          <w:rtl w:val="0"/>
          <w:lang w:val="it-IT"/>
          <w14:textFill>
            <w14:solidFill>
              <w14:srgbClr w14:val="323E4F"/>
            </w14:solidFill>
          </w14:textFill>
        </w:rPr>
        <w:t>;</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b) i lavoratori autonomi, nonch</w:t>
      </w:r>
      <w:r>
        <w:rPr>
          <w:outline w:val="0"/>
          <w:color w:val="323e4f"/>
          <w:sz w:val="20"/>
          <w:szCs w:val="20"/>
          <w:u w:color="323e4f"/>
          <w:rtl w:val="0"/>
          <w:lang w:val="it-IT"/>
          <w14:textFill>
            <w14:solidFill>
              <w14:srgbClr w14:val="323E4F"/>
            </w14:solidFill>
          </w14:textFill>
        </w:rPr>
        <w:t xml:space="preserve">é </w:t>
      </w:r>
      <w:r>
        <w:rPr>
          <w:outline w:val="0"/>
          <w:color w:val="323e4f"/>
          <w:sz w:val="20"/>
          <w:szCs w:val="20"/>
          <w:u w:color="323e4f"/>
          <w:rtl w:val="0"/>
          <w:lang w:val="it-IT"/>
          <w14:textFill>
            <w14:solidFill>
              <w14:srgbClr w14:val="323E4F"/>
            </w14:solidFill>
          </w14:textFill>
        </w:rPr>
        <w:t>titolari di un rapporto di collaborazione, che svolgono la propria attivit</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lavorativa in favore della societ</w:t>
      </w:r>
      <w:r>
        <w:rPr>
          <w:outline w:val="0"/>
          <w:color w:val="323e4f"/>
          <w:sz w:val="20"/>
          <w:szCs w:val="20"/>
          <w:u w:color="323e4f"/>
          <w:rtl w:val="0"/>
          <w:lang w:val="it-IT"/>
          <w14:textFill>
            <w14:solidFill>
              <w14:srgbClr w14:val="323E4F"/>
            </w14:solidFill>
          </w14:textFill>
        </w:rPr>
        <w:t>à</w:t>
      </w:r>
      <w:r>
        <w:rPr>
          <w:outline w:val="0"/>
          <w:color w:val="323e4f"/>
          <w:sz w:val="20"/>
          <w:szCs w:val="20"/>
          <w:u w:color="323e4f"/>
          <w:rtl w:val="0"/>
          <w:lang w:val="it-IT"/>
          <w14:textFill>
            <w14:solidFill>
              <w14:srgbClr w14:val="323E4F"/>
            </w14:solidFill>
          </w14:textFill>
        </w:rPr>
        <w:t xml:space="preserve">, come definiti dal suddetto decreto; </w:t>
      </w:r>
    </w:p>
    <w:p>
      <w:pPr>
        <w:pStyle w:val="Default"/>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c) i lavoratori e collaboratori delle imprese fornitrici di beni o servizi e che realizzano opere in favore della societ</w:t>
      </w:r>
      <w:r>
        <w:rPr>
          <w:outline w:val="0"/>
          <w:color w:val="323e4f"/>
          <w:sz w:val="20"/>
          <w:szCs w:val="20"/>
          <w:u w:color="323e4f"/>
          <w:rtl w:val="0"/>
          <w:lang w:val="it-IT"/>
          <w14:textFill>
            <w14:solidFill>
              <w14:srgbClr w14:val="323E4F"/>
            </w14:solidFill>
          </w14:textFill>
        </w:rPr>
        <w:t>à</w:t>
      </w:r>
      <w:r>
        <w:rPr>
          <w:outline w:val="0"/>
          <w:color w:val="323e4f"/>
          <w:sz w:val="20"/>
          <w:szCs w:val="20"/>
          <w:u w:color="323e4f"/>
          <w:rtl w:val="0"/>
          <w:lang w:val="it-IT"/>
          <w14:textFill>
            <w14:solidFill>
              <w14:srgbClr w14:val="323E4F"/>
            </w14:solidFill>
          </w14:textFill>
        </w:rPr>
        <w:t>;</w:t>
      </w:r>
    </w:p>
    <w:p>
      <w:pPr>
        <w:pStyle w:val="Default"/>
        <w:jc w:val="both"/>
        <w:rPr>
          <w:outline w:val="0"/>
          <w:color w:val="323e4f"/>
          <w:sz w:val="20"/>
          <w:szCs w:val="20"/>
          <w:u w:color="323e4f"/>
          <w14:textFill>
            <w14:solidFill>
              <w14:srgbClr w14:val="323E4F"/>
            </w14:solidFill>
          </w14:textFill>
        </w:rPr>
      </w:pPr>
    </w:p>
    <w:p>
      <w:pPr>
        <w:pStyle w:val="Default"/>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d) i liberi professionisti e consulenti che prestano la propria attivit</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lavorativa presso la societ</w:t>
      </w:r>
      <w:r>
        <w:rPr>
          <w:outline w:val="0"/>
          <w:color w:val="323e4f"/>
          <w:sz w:val="20"/>
          <w:szCs w:val="20"/>
          <w:u w:color="323e4f"/>
          <w:rtl w:val="0"/>
          <w:lang w:val="it-IT"/>
          <w14:textFill>
            <w14:solidFill>
              <w14:srgbClr w14:val="323E4F"/>
            </w14:solidFill>
          </w14:textFill>
        </w:rPr>
        <w:t>à</w:t>
      </w:r>
      <w:r>
        <w:rPr>
          <w:outline w:val="0"/>
          <w:color w:val="323e4f"/>
          <w:sz w:val="20"/>
          <w:szCs w:val="20"/>
          <w:u w:color="323e4f"/>
          <w:rtl w:val="0"/>
          <w:lang w:val="it-IT"/>
          <w14:textFill>
            <w14:solidFill>
              <w14:srgbClr w14:val="323E4F"/>
            </w14:solidFill>
          </w14:textFill>
        </w:rPr>
        <w:t>;</w:t>
      </w:r>
    </w:p>
    <w:p>
      <w:pPr>
        <w:pStyle w:val="Default"/>
        <w:jc w:val="both"/>
        <w:rPr>
          <w:outline w:val="0"/>
          <w:color w:val="323e4f"/>
          <w:sz w:val="20"/>
          <w:szCs w:val="20"/>
          <w:u w:color="323e4f"/>
          <w14:textFill>
            <w14:solidFill>
              <w14:srgbClr w14:val="323E4F"/>
            </w14:solidFill>
          </w14:textFill>
        </w:rPr>
      </w:pP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e) i volontari e i tirocinanti, retribuiti e non retribuiti, che prestano la propria attivit</w:t>
      </w:r>
      <w:r>
        <w:rPr>
          <w:rFonts w:ascii="Times New Roman" w:hAnsi="Times New Roman" w:hint="default"/>
          <w:outline w:val="0"/>
          <w:color w:val="323e4f"/>
          <w:sz w:val="20"/>
          <w:szCs w:val="20"/>
          <w:u w:color="323e4f"/>
          <w:rtl w:val="0"/>
          <w:lang w:val="it-IT"/>
          <w14:textFill>
            <w14:solidFill>
              <w14:srgbClr w14:val="323E4F"/>
            </w14:solidFill>
          </w14:textFill>
        </w:rPr>
        <w:t xml:space="preserve">à </w:t>
      </w:r>
      <w:r>
        <w:rPr>
          <w:rFonts w:ascii="Times New Roman" w:hAnsi="Times New Roman"/>
          <w:outline w:val="0"/>
          <w:color w:val="323e4f"/>
          <w:sz w:val="20"/>
          <w:szCs w:val="20"/>
          <w:u w:color="323e4f"/>
          <w:rtl w:val="0"/>
          <w:lang w:val="it-IT"/>
          <w14:textFill>
            <w14:solidFill>
              <w14:srgbClr w14:val="323E4F"/>
            </w14:solidFill>
          </w14:textFill>
        </w:rPr>
        <w:t>presso la societ</w:t>
      </w:r>
      <w:r>
        <w:rPr>
          <w:rFonts w:ascii="Times New Roman" w:hAnsi="Times New Roman" w:hint="default"/>
          <w:outline w:val="0"/>
          <w:color w:val="323e4f"/>
          <w:sz w:val="20"/>
          <w:szCs w:val="20"/>
          <w:u w:color="323e4f"/>
          <w:rtl w:val="0"/>
          <w:lang w:val="it-IT"/>
          <w14:textFill>
            <w14:solidFill>
              <w14:srgbClr w14:val="323E4F"/>
            </w14:solidFill>
          </w14:textFill>
        </w:rPr>
        <w:t>à</w:t>
      </w:r>
      <w:r>
        <w:rPr>
          <w:rFonts w:ascii="Times New Roman" w:hAnsi="Times New Roman"/>
          <w:outline w:val="0"/>
          <w:color w:val="323e4f"/>
          <w:sz w:val="20"/>
          <w:szCs w:val="20"/>
          <w:u w:color="323e4f"/>
          <w:rtl w:val="0"/>
          <w:lang w:val="it-IT"/>
          <w14:textFill>
            <w14:solidFill>
              <w14:srgbClr w14:val="323E4F"/>
            </w14:solidFill>
          </w14:textFill>
        </w:rPr>
        <w:t>;</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f) gli azionisti e le persone con funzioni di amministrazione, direzione, controllo, vigilanza o rappresentanza, anche qualora tali funzioni siano esercitate in via di mero fatto, presso la societ</w:t>
      </w:r>
      <w:r>
        <w:rPr>
          <w:rFonts w:ascii="Times New Roman" w:hAnsi="Times New Roman" w:hint="default"/>
          <w:outline w:val="0"/>
          <w:color w:val="323e4f"/>
          <w:sz w:val="20"/>
          <w:szCs w:val="20"/>
          <w:u w:color="323e4f"/>
          <w:rtl w:val="0"/>
          <w:lang w:val="it-IT"/>
          <w14:textFill>
            <w14:solidFill>
              <w14:srgbClr w14:val="323E4F"/>
            </w14:solidFill>
          </w14:textFill>
        </w:rPr>
        <w:t>à</w:t>
      </w:r>
      <w:r>
        <w:rPr>
          <w:rFonts w:ascii="Times New Roman" w:hAnsi="Times New Roman"/>
          <w:outline w:val="0"/>
          <w:color w:val="323e4f"/>
          <w:sz w:val="20"/>
          <w:szCs w:val="20"/>
          <w:u w:color="323e4f"/>
          <w:rtl w:val="0"/>
          <w:lang w:val="it-IT"/>
          <w14:textFill>
            <w14:solidFill>
              <w14:srgbClr w14:val="323E4F"/>
            </w14:solidFill>
          </w14:textFill>
        </w:rPr>
        <w:t>.</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 xml:space="preserve">La tutela </w:t>
      </w:r>
      <w:r>
        <w:rPr>
          <w:outline w:val="0"/>
          <w:color w:val="323e4f"/>
          <w:sz w:val="20"/>
          <w:szCs w:val="20"/>
          <w:u w:color="323e4f"/>
          <w:rtl w:val="0"/>
          <w:lang w:val="it-IT"/>
          <w14:textFill>
            <w14:solidFill>
              <w14:srgbClr w14:val="323E4F"/>
            </w14:solidFill>
          </w14:textFill>
        </w:rPr>
        <w:t xml:space="preserve">è </w:t>
      </w:r>
      <w:r>
        <w:rPr>
          <w:outline w:val="0"/>
          <w:color w:val="323e4f"/>
          <w:sz w:val="20"/>
          <w:szCs w:val="20"/>
          <w:u w:color="323e4f"/>
          <w:rtl w:val="0"/>
          <w:lang w:val="it-IT"/>
          <w14:textFill>
            <w14:solidFill>
              <w14:srgbClr w14:val="323E4F"/>
            </w14:solidFill>
          </w14:textFill>
        </w:rPr>
        <w:t>riconosciuta, oltre ai suddetti soggetti del settore pubblico e del settore privato, anche a quei soggetti diversi dal segnalante che, tuttavia, potrebbero essere destinatari di ritorsioni, intraprese anche indirettamente, in ragione del ruolo assunto nell</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ambito del processo di segnalazione, divulgazione pubblica o denuncia e/o del particolare rapporto che li lega al segnalante o denunciante.</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Oggetto della segnalazione sono informazioni su violazioni riguardanti comportamenti, atti od omissioni di cui il segnalante sia venuto a conoscenza nel relativo contesto lavorativo e devono essere relative alla violazione di specifiche norme dell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ordinamento nazionale e dell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Unione Europea, ossia:</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hint="default"/>
          <w:outline w:val="0"/>
          <w:color w:val="323e4f"/>
          <w:sz w:val="20"/>
          <w:szCs w:val="20"/>
          <w:u w:color="323e4f"/>
          <w:rtl w:val="0"/>
          <w:lang w:val="it-IT"/>
          <w14:textFill>
            <w14:solidFill>
              <w14:srgbClr w14:val="323E4F"/>
            </w14:solidFill>
          </w14:textFill>
        </w:rPr>
        <w:t xml:space="preserve">• </w:t>
      </w:r>
      <w:r>
        <w:rPr>
          <w:rFonts w:ascii="Times New Roman" w:hAnsi="Times New Roman"/>
          <w:outline w:val="0"/>
          <w:color w:val="323e4f"/>
          <w:sz w:val="20"/>
          <w:szCs w:val="20"/>
          <w:u w:color="323e4f"/>
          <w:rtl w:val="0"/>
          <w:lang w:val="it-IT"/>
          <w14:textFill>
            <w14:solidFill>
              <w14:srgbClr w14:val="323E4F"/>
            </w14:solidFill>
          </w14:textFill>
        </w:rPr>
        <w:t>illeciti civili;</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hint="default"/>
          <w:outline w:val="0"/>
          <w:color w:val="323e4f"/>
          <w:sz w:val="20"/>
          <w:szCs w:val="20"/>
          <w:u w:color="323e4f"/>
          <w:rtl w:val="0"/>
          <w:lang w:val="it-IT"/>
          <w14:textFill>
            <w14:solidFill>
              <w14:srgbClr w14:val="323E4F"/>
            </w14:solidFill>
          </w14:textFill>
        </w:rPr>
        <w:t xml:space="preserve">• </w:t>
      </w:r>
      <w:r>
        <w:rPr>
          <w:rFonts w:ascii="Times New Roman" w:hAnsi="Times New Roman"/>
          <w:outline w:val="0"/>
          <w:color w:val="323e4f"/>
          <w:sz w:val="20"/>
          <w:szCs w:val="20"/>
          <w:u w:color="323e4f"/>
          <w:rtl w:val="0"/>
          <w:lang w:val="it-IT"/>
          <w14:textFill>
            <w14:solidFill>
              <w14:srgbClr w14:val="323E4F"/>
            </w14:solidFill>
          </w14:textFill>
        </w:rPr>
        <w:t>illeciti amministrativi;</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hint="default"/>
          <w:outline w:val="0"/>
          <w:color w:val="323e4f"/>
          <w:sz w:val="20"/>
          <w:szCs w:val="20"/>
          <w:u w:color="323e4f"/>
          <w:rtl w:val="0"/>
          <w:lang w:val="it-IT"/>
          <w14:textFill>
            <w14:solidFill>
              <w14:srgbClr w14:val="323E4F"/>
            </w14:solidFill>
          </w14:textFill>
        </w:rPr>
        <w:t xml:space="preserve">• </w:t>
      </w:r>
      <w:r>
        <w:rPr>
          <w:rFonts w:ascii="Times New Roman" w:hAnsi="Times New Roman"/>
          <w:outline w:val="0"/>
          <w:color w:val="323e4f"/>
          <w:sz w:val="20"/>
          <w:szCs w:val="20"/>
          <w:u w:color="323e4f"/>
          <w:rtl w:val="0"/>
          <w:lang w:val="it-IT"/>
          <w14:textFill>
            <w14:solidFill>
              <w14:srgbClr w14:val="323E4F"/>
            </w14:solidFill>
          </w14:textFill>
        </w:rPr>
        <w:t>illeciti contabili;</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Illeciti penali. In questa categoria rientrano anche le condotte illecite rilevanti ai sensi del d.lgs. n. 231/2001 e le violazioni del Modello di organizzazione e gestione;</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 xml:space="preserve">• </w:t>
      </w:r>
      <w:r>
        <w:rPr>
          <w:outline w:val="0"/>
          <w:color w:val="323e4f"/>
          <w:sz w:val="20"/>
          <w:szCs w:val="20"/>
          <w:u w:color="323e4f"/>
          <w:rtl w:val="0"/>
          <w:lang w:val="it-IT"/>
          <w14:textFill>
            <w14:solidFill>
              <w14:srgbClr w14:val="323E4F"/>
            </w14:solidFill>
          </w14:textFill>
        </w:rPr>
        <w:t>violazioni del diritto dell</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UE</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 xml:space="preserve">• </w:t>
      </w:r>
      <w:r>
        <w:rPr>
          <w:outline w:val="0"/>
          <w:color w:val="323e4f"/>
          <w:sz w:val="20"/>
          <w:szCs w:val="20"/>
          <w:u w:color="323e4f"/>
          <w:rtl w:val="0"/>
          <w:lang w:val="it-IT"/>
          <w14:textFill>
            <w14:solidFill>
              <w14:srgbClr w14:val="323E4F"/>
            </w14:solidFill>
          </w14:textFill>
        </w:rPr>
        <w:t>violazioni delle misure restrittive dell</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UE</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Non possono essere oggetto di segnalazione, ai sensi del gi</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menzionato Decreto:</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Le contestazioni, rivendicazioni o richieste legate ad un interesse di carattere personale della persona segnalante o della persona che ha sporto una denuncia all'Autorit</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giudiziaria o contabile che attengono esclusivamente ai propri rapporti individuali di lavoro o di impiego pubblico, ovvero inerenti ai propri rapporti di lavoro o di impiego pubblico con le figure gerarchicamente sovraordinate (ad es. segnalazioni riguardanti vertenze di lavoro, discriminazioni tra colleghi, conflitti interpersonali tra la persona segnalante e un altro lavoratore);</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Le segnalazioni di violazioni laddove gi</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disciplinate in via obbligatoria dagli atti dell'Unione europea o nazionali indicati nella parte II dell'allegato al decreto ovvero da quelli nazionali che costituiscono attuazione degli atti dell'Unione europea indicati nella parte II dell'allegato alla direttiva (UE) 2019/1937, seppur non indicati nella parte II dell'allegato al decreto (ad es. il settore dei servizi finanziari)</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 xml:space="preserve">• </w:t>
      </w:r>
      <w:r>
        <w:rPr>
          <w:outline w:val="0"/>
          <w:color w:val="323e4f"/>
          <w:sz w:val="20"/>
          <w:szCs w:val="20"/>
          <w:u w:color="323e4f"/>
          <w:rtl w:val="0"/>
          <w:lang w:val="it-IT"/>
          <w14:textFill>
            <w14:solidFill>
              <w14:srgbClr w14:val="323E4F"/>
            </w14:solidFill>
          </w14:textFill>
        </w:rPr>
        <w:t>le segnalazioni di violazioni in materia di sicurezza nazionale, nonch</w:t>
      </w:r>
      <w:r>
        <w:rPr>
          <w:outline w:val="0"/>
          <w:color w:val="323e4f"/>
          <w:sz w:val="20"/>
          <w:szCs w:val="20"/>
          <w:u w:color="323e4f"/>
          <w:rtl w:val="0"/>
          <w:lang w:val="it-IT"/>
          <w14:textFill>
            <w14:solidFill>
              <w14:srgbClr w14:val="323E4F"/>
            </w14:solidFill>
          </w14:textFill>
        </w:rPr>
        <w:t xml:space="preserve">é </w:t>
      </w:r>
      <w:r>
        <w:rPr>
          <w:outline w:val="0"/>
          <w:color w:val="323e4f"/>
          <w:sz w:val="20"/>
          <w:szCs w:val="20"/>
          <w:u w:color="323e4f"/>
          <w:rtl w:val="0"/>
          <w:lang w:val="it-IT"/>
          <w14:textFill>
            <w14:solidFill>
              <w14:srgbClr w14:val="323E4F"/>
            </w14:solidFill>
          </w14:textFill>
        </w:rPr>
        <w:t>di appalti relativi ad aspetti di difesa o di sicurezza nazionale, a meno che tali aspetti rientrino nel diritto derivato pertinente dell'Unione europea.</w:t>
      </w:r>
    </w:p>
    <w:p>
      <w:pPr>
        <w:pStyle w:val="Normal (Web)"/>
        <w:spacing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Le informazioni sulle violazioni devono riguardare comportamenti, atti od omissioni di cui il segnalante sia venuto a conoscenza nell</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ambito del proprio contesto lavorativo.  Non sono inoltre ricomprese tra le informazioni sulle violazioni segnalabili le notizie palesemente prive di fondamento, le informazioni che siano gi</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totalmente di dominio pubblico, nonch</w:t>
      </w:r>
      <w:r>
        <w:rPr>
          <w:outline w:val="0"/>
          <w:color w:val="323e4f"/>
          <w:sz w:val="20"/>
          <w:szCs w:val="20"/>
          <w:u w:color="323e4f"/>
          <w:rtl w:val="0"/>
          <w:lang w:val="it-IT"/>
          <w14:textFill>
            <w14:solidFill>
              <w14:srgbClr w14:val="323E4F"/>
            </w14:solidFill>
          </w14:textFill>
        </w:rPr>
        <w:t xml:space="preserve">é </w:t>
      </w:r>
      <w:r>
        <w:rPr>
          <w:outline w:val="0"/>
          <w:color w:val="323e4f"/>
          <w:sz w:val="20"/>
          <w:szCs w:val="20"/>
          <w:u w:color="323e4f"/>
          <w:rtl w:val="0"/>
          <w:lang w:val="it-IT"/>
          <w14:textFill>
            <w14:solidFill>
              <w14:srgbClr w14:val="323E4F"/>
            </w14:solidFill>
          </w14:textFill>
        </w:rPr>
        <w:t xml:space="preserve">le informazioni acquisite solo sulla base di indiscrezioni, vociferazioni scarsamente attendibili o </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voci di corridoio</w:t>
      </w:r>
      <w:r>
        <w:rPr>
          <w:outline w:val="0"/>
          <w:color w:val="323e4f"/>
          <w:sz w:val="20"/>
          <w:szCs w:val="20"/>
          <w:u w:color="323e4f"/>
          <w:rtl w:val="0"/>
          <w:lang w:val="it-IT"/>
          <w14:textFill>
            <w14:solidFill>
              <w14:srgbClr w14:val="323E4F"/>
            </w14:solidFill>
          </w14:textFill>
        </w:rPr>
        <w:t>”</w:t>
      </w:r>
      <w:r>
        <w:rPr>
          <w:outline w:val="0"/>
          <w:color w:val="323e4f"/>
          <w:sz w:val="20"/>
          <w:szCs w:val="20"/>
          <w:u w:color="323e4f"/>
          <w:rtl w:val="0"/>
          <w:lang w:val="it-IT"/>
          <w14:textFill>
            <w14:solidFill>
              <w14:srgbClr w14:val="323E4F"/>
            </w14:solidFill>
          </w14:textFill>
        </w:rPr>
        <w:t>.</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Pavia Acque gi</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 xml:space="preserve">da alcuni anni dispone di un canale di segnalazione interno, in adesione al progetto WhistleblowingPA di Transparency International Italia, ed ha adottato una piattaforma informatica crittografata per la gestione delle segnalazioni in forma scritta </w:t>
      </w:r>
      <w:r>
        <w:rPr>
          <w:outline w:val="0"/>
          <w:color w:val="323e4f"/>
          <w:sz w:val="20"/>
          <w:szCs w:val="20"/>
          <w:u w:color="323e4f"/>
          <w:rtl w:val="0"/>
          <w:lang w:val="it-IT"/>
          <w14:textFill>
            <w14:solidFill>
              <w14:srgbClr w14:val="323E4F"/>
            </w14:solidFill>
          </w14:textFill>
        </w:rPr>
        <w:t>le cui caratteristiche sono:</w:t>
      </w:r>
    </w:p>
    <w:p>
      <w:pPr>
        <w:pStyle w:val="Normal (Web)"/>
        <w:numPr>
          <w:ilvl w:val="0"/>
          <w:numId w:val="2"/>
        </w:numPr>
        <w:bidi w:val="0"/>
        <w:ind w:right="0"/>
        <w:jc w:val="both"/>
        <w:rPr>
          <w:outline w:val="0"/>
          <w:color w:val="323e4f"/>
          <w:sz w:val="20"/>
          <w:szCs w:val="20"/>
          <w:rtl w:val="0"/>
          <w:lang w:val="it-IT"/>
          <w14:textFill>
            <w14:solidFill>
              <w14:srgbClr w14:val="323E4F"/>
            </w14:solidFill>
          </w14:textFill>
        </w:rPr>
      </w:pPr>
      <w:r>
        <w:rPr>
          <w:outline w:val="0"/>
          <w:color w:val="323e4f"/>
          <w:sz w:val="20"/>
          <w:szCs w:val="20"/>
          <w:u w:color="323e4f"/>
          <w:rtl w:val="0"/>
          <w:lang w:val="it-IT"/>
          <w14:textFill>
            <w14:solidFill>
              <w14:srgbClr w14:val="323E4F"/>
            </w14:solidFill>
          </w14:textFill>
        </w:rPr>
        <w:t>la segnalazione viene ricevuta dal Gestore del canale interno. individuato per legge nel Responsabile per la Prevenzione della Corruzione e Trasparenza (RPCT) della societ</w:t>
      </w:r>
      <w:r>
        <w:rPr>
          <w:outline w:val="0"/>
          <w:color w:val="323e4f"/>
          <w:sz w:val="20"/>
          <w:szCs w:val="20"/>
          <w:u w:color="323e4f"/>
          <w:rtl w:val="0"/>
          <w:lang w:val="it-IT"/>
          <w14:textFill>
            <w14:solidFill>
              <w14:srgbClr w14:val="323E4F"/>
            </w14:solidFill>
          </w14:textFill>
        </w:rPr>
        <w:t>à</w:t>
      </w:r>
      <w:r>
        <w:rPr>
          <w:outline w:val="0"/>
          <w:color w:val="323e4f"/>
          <w:sz w:val="20"/>
          <w:szCs w:val="20"/>
          <w:u w:color="323e4f"/>
          <w:rtl w:val="0"/>
          <w:lang w:val="it-IT"/>
          <w14:textFill>
            <w14:solidFill>
              <w14:srgbClr w14:val="323E4F"/>
            </w14:solidFill>
          </w14:textFill>
        </w:rPr>
        <w:t>. e dallo stesso gestita mantenendo il dovere di confidenzialit</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nei confronti del segnalante;</w:t>
      </w:r>
    </w:p>
    <w:p>
      <w:pPr>
        <w:pStyle w:val="Normal (Web)"/>
        <w:numPr>
          <w:ilvl w:val="0"/>
          <w:numId w:val="2"/>
        </w:numPr>
        <w:bidi w:val="0"/>
        <w:ind w:right="0"/>
        <w:jc w:val="both"/>
        <w:rPr>
          <w:outline w:val="0"/>
          <w:color w:val="323e4f"/>
          <w:sz w:val="20"/>
          <w:szCs w:val="20"/>
          <w:rtl w:val="0"/>
          <w:lang w:val="it-IT"/>
          <w14:textFill>
            <w14:solidFill>
              <w14:srgbClr w14:val="323E4F"/>
            </w14:solidFill>
          </w14:textFill>
        </w:rPr>
      </w:pPr>
      <w:r>
        <w:rPr>
          <w:outline w:val="0"/>
          <w:color w:val="323e4f"/>
          <w:sz w:val="20"/>
          <w:szCs w:val="20"/>
          <w:u w:color="323e4f"/>
          <w:rtl w:val="0"/>
          <w:lang w:val="it-IT"/>
          <w14:textFill>
            <w14:solidFill>
              <w14:srgbClr w14:val="323E4F"/>
            </w14:solidFill>
          </w14:textFill>
        </w:rPr>
        <w:t>la segnalazione viene fatta attraverso la compilazione di un questionario e sar</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presa in carico solo se adeguatamente circostanziata; essa inoltre deve contenere elementi tale da far comprendere al RPCT che il soggetto segnalante appartiene ad una delle categorie dei soggetti ammessi alla disciplina del whistleblowing di cui ai suddetti punti: a) - f);</w:t>
      </w:r>
      <w:bookmarkStart w:name="_Hlk141700034" w:id="0"/>
      <w:bookmarkEnd w:id="0"/>
    </w:p>
    <w:p>
      <w:pPr>
        <w:pStyle w:val="Normal.0"/>
        <w:numPr>
          <w:ilvl w:val="0"/>
          <w:numId w:val="2"/>
        </w:numPr>
        <w:bidi w:val="0"/>
        <w:spacing w:before="100" w:after="100"/>
        <w:ind w:right="0"/>
        <w:jc w:val="both"/>
        <w:rPr>
          <w:rFonts w:ascii="Times New Roman" w:hAnsi="Times New Roman"/>
          <w:outline w:val="0"/>
          <w:color w:val="323e4f"/>
          <w:sz w:val="20"/>
          <w:szCs w:val="20"/>
          <w:rtl w:val="0"/>
          <w:lang w:val="it-IT"/>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nel momento dell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invio della segnalazione, il segnalante riceve un codice numerico che deve conservare per poter accedere nuovamente alla segnalazione, verificare la risposta dell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RPCT e dialogare rispondendo a richieste di chiarimenti o approfondimenti;</w:t>
      </w:r>
    </w:p>
    <w:p>
      <w:pPr>
        <w:pStyle w:val="Normal.0"/>
        <w:numPr>
          <w:ilvl w:val="0"/>
          <w:numId w:val="2"/>
        </w:numPr>
        <w:bidi w:val="0"/>
        <w:spacing w:before="100" w:after="100"/>
        <w:ind w:right="0"/>
        <w:jc w:val="both"/>
        <w:rPr>
          <w:rFonts w:ascii="Times New Roman" w:hAnsi="Times New Roman"/>
          <w:outline w:val="0"/>
          <w:color w:val="323e4f"/>
          <w:sz w:val="20"/>
          <w:szCs w:val="20"/>
          <w:rtl w:val="0"/>
          <w:lang w:val="it-IT"/>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la segnalazione pu</w:t>
      </w:r>
      <w:r>
        <w:rPr>
          <w:rFonts w:ascii="Times New Roman" w:hAnsi="Times New Roman" w:hint="default"/>
          <w:outline w:val="0"/>
          <w:color w:val="323e4f"/>
          <w:sz w:val="20"/>
          <w:szCs w:val="20"/>
          <w:u w:color="323e4f"/>
          <w:rtl w:val="0"/>
          <w:lang w:val="it-IT"/>
          <w14:textFill>
            <w14:solidFill>
              <w14:srgbClr w14:val="323E4F"/>
            </w14:solidFill>
          </w14:textFill>
        </w:rPr>
        <w:t xml:space="preserve">ò </w:t>
      </w:r>
      <w:r>
        <w:rPr>
          <w:rFonts w:ascii="Times New Roman" w:hAnsi="Times New Roman"/>
          <w:outline w:val="0"/>
          <w:color w:val="323e4f"/>
          <w:sz w:val="20"/>
          <w:szCs w:val="20"/>
          <w:u w:color="323e4f"/>
          <w:rtl w:val="0"/>
          <w:lang w:val="it-IT"/>
          <w14:textFill>
            <w14:solidFill>
              <w14:srgbClr w14:val="323E4F"/>
            </w14:solidFill>
          </w14:textFill>
        </w:rPr>
        <w:t>essere fatta da qualsiasi dispositivo digitale (pc, tablet, smartphone) sia dall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interno dell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ente che dal suo esterno. La tutela dell</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 xml:space="preserve">anonimato </w:t>
      </w:r>
      <w:r>
        <w:rPr>
          <w:rFonts w:ascii="Times New Roman" w:hAnsi="Times New Roman" w:hint="default"/>
          <w:outline w:val="0"/>
          <w:color w:val="323e4f"/>
          <w:sz w:val="20"/>
          <w:szCs w:val="20"/>
          <w:u w:color="323e4f"/>
          <w:rtl w:val="0"/>
          <w:lang w:val="it-IT"/>
          <w14:textFill>
            <w14:solidFill>
              <w14:srgbClr w14:val="323E4F"/>
            </w14:solidFill>
          </w14:textFill>
        </w:rPr>
        <w:t xml:space="preserve">è </w:t>
      </w:r>
      <w:r>
        <w:rPr>
          <w:rFonts w:ascii="Times New Roman" w:hAnsi="Times New Roman"/>
          <w:outline w:val="0"/>
          <w:color w:val="323e4f"/>
          <w:sz w:val="20"/>
          <w:szCs w:val="20"/>
          <w:u w:color="323e4f"/>
          <w:rtl w:val="0"/>
          <w:lang w:val="it-IT"/>
          <w14:textFill>
            <w14:solidFill>
              <w14:srgbClr w14:val="323E4F"/>
            </w14:solidFill>
          </w14:textFill>
        </w:rPr>
        <w:t>garantita in ogni circostanza, ai sensi e nei limiti delle disposizioni di legge vigenti e, in particolare, del d.lgs. n.24/2023.</w:t>
      </w:r>
    </w:p>
    <w:p>
      <w:pPr>
        <w:pStyle w:val="Normal (Web)"/>
        <w:spacing w:before="0" w:after="188"/>
        <w:jc w:val="both"/>
        <w:rPr>
          <w:outline w:val="0"/>
          <w:color w:val="323e4f"/>
          <w:sz w:val="20"/>
          <w:szCs w:val="20"/>
          <w:u w:color="323e4f"/>
          <w14:textFill>
            <w14:solidFill>
              <w14:srgbClr w14:val="323E4F"/>
            </w14:solidFill>
          </w14:textFill>
        </w:rPr>
      </w:pPr>
      <w:r>
        <w:rPr>
          <w:outline w:val="0"/>
          <w:color w:val="323e4f"/>
          <w:sz w:val="20"/>
          <w:szCs w:val="20"/>
          <w:u w:color="323e4f"/>
          <w:rtl w:val="0"/>
          <w:lang w:val="it-IT"/>
          <w14:textFill>
            <w14:solidFill>
              <w14:srgbClr w14:val="323E4F"/>
            </w14:solidFill>
          </w14:textFill>
        </w:rPr>
        <w:t xml:space="preserve">Le eventuali segnalazioni, come sopra gestite, possono essere inviate </w:t>
      </w:r>
      <w:r>
        <w:rPr>
          <w:outline w:val="0"/>
          <w:color w:val="323e4f"/>
          <w:sz w:val="20"/>
          <w:szCs w:val="20"/>
          <w:u w:color="323e4f"/>
          <w:rtl w:val="0"/>
          <w:lang w:val="it-IT"/>
          <w14:textFill>
            <w14:solidFill>
              <w14:srgbClr w14:val="323E4F"/>
            </w14:solidFill>
          </w14:textFill>
        </w:rPr>
        <w:t xml:space="preserve">– </w:t>
      </w:r>
      <w:r>
        <w:rPr>
          <w:outline w:val="0"/>
          <w:color w:val="323e4f"/>
          <w:sz w:val="20"/>
          <w:szCs w:val="20"/>
          <w:u w:color="323e4f"/>
          <w:rtl w:val="0"/>
          <w:lang w:val="it-IT"/>
          <w14:textFill>
            <w14:solidFill>
              <w14:srgbClr w14:val="323E4F"/>
            </w14:solidFill>
          </w14:textFill>
        </w:rPr>
        <w:t>modalit</w:t>
      </w:r>
      <w:r>
        <w:rPr>
          <w:outline w:val="0"/>
          <w:color w:val="323e4f"/>
          <w:sz w:val="20"/>
          <w:szCs w:val="20"/>
          <w:u w:color="323e4f"/>
          <w:rtl w:val="0"/>
          <w:lang w:val="it-IT"/>
          <w14:textFill>
            <w14:solidFill>
              <w14:srgbClr w14:val="323E4F"/>
            </w14:solidFill>
          </w14:textFill>
        </w:rPr>
        <w:t xml:space="preserve">à </w:t>
      </w:r>
      <w:r>
        <w:rPr>
          <w:outline w:val="0"/>
          <w:color w:val="323e4f"/>
          <w:sz w:val="20"/>
          <w:szCs w:val="20"/>
          <w:u w:color="323e4f"/>
          <w:rtl w:val="0"/>
          <w:lang w:val="it-IT"/>
          <w14:textFill>
            <w14:solidFill>
              <w14:srgbClr w14:val="323E4F"/>
            </w14:solidFill>
          </w14:textFill>
        </w:rPr>
        <w:t>preferibile - accedendo alla pagina web:</w:t>
      </w:r>
    </w:p>
    <w:p>
      <w:pPr>
        <w:pStyle w:val="Normal (Web)"/>
        <w:spacing w:before="0" w:after="188"/>
        <w:jc w:val="both"/>
        <w:rPr>
          <w:b w:val="1"/>
          <w:bCs w:val="1"/>
          <w:outline w:val="0"/>
          <w:color w:val="323e4f"/>
          <w:sz w:val="20"/>
          <w:szCs w:val="20"/>
          <w:u w:color="323e4f"/>
          <w14:textFill>
            <w14:solidFill>
              <w14:srgbClr w14:val="323E4F"/>
            </w14:solidFill>
          </w14:textFill>
        </w:rPr>
      </w:pPr>
      <w:r>
        <w:rPr>
          <w:rStyle w:val="Hyperlink.1"/>
        </w:rPr>
        <w:fldChar w:fldCharType="begin" w:fldLock="0"/>
      </w:r>
      <w:r>
        <w:rPr>
          <w:rStyle w:val="Hyperlink.1"/>
        </w:rPr>
        <w:instrText xml:space="preserve"> HYPERLINK "https://paviaacque.whistleblowing.it/#/"</w:instrText>
      </w:r>
      <w:r>
        <w:rPr>
          <w:rStyle w:val="Hyperlink.1"/>
        </w:rPr>
        <w:fldChar w:fldCharType="separate" w:fldLock="0"/>
      </w:r>
      <w:r>
        <w:rPr>
          <w:rStyle w:val="Hyperlink.1"/>
          <w:rtl w:val="0"/>
          <w:lang w:val="it-IT"/>
        </w:rPr>
        <w:t>https://paviaacque.whistleblowing.it/#/</w:t>
      </w:r>
      <w:r>
        <w:rPr/>
        <w:fldChar w:fldCharType="end" w:fldLock="0"/>
      </w:r>
      <w:r>
        <w:rPr>
          <w:b w:val="1"/>
          <w:bCs w:val="1"/>
          <w:outline w:val="0"/>
          <w:color w:val="323e4f"/>
          <w:sz w:val="20"/>
          <w:szCs w:val="20"/>
          <w:u w:color="323e4f"/>
          <w14:textFill>
            <w14:solidFill>
              <w14:srgbClr w14:val="323E4F"/>
            </w14:solidFill>
          </w14:textFill>
        </w:rPr>
        <w:tab/>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Style w:val="Link"/>
          <w:rFonts w:ascii="Times New Roman" w:hAnsi="Times New Roman"/>
          <w:outline w:val="0"/>
          <w:color w:val="323e4f"/>
          <w:sz w:val="20"/>
          <w:szCs w:val="20"/>
          <w:u w:val="none" w:color="323e4f"/>
          <w:rtl w:val="0"/>
          <w:lang w:val="it-IT"/>
          <w14:textFill>
            <w14:solidFill>
              <w14:srgbClr w14:val="323E4F"/>
            </w14:solidFill>
          </w14:textFill>
        </w:rPr>
        <w:t xml:space="preserve">oppure, in alternativa, </w:t>
      </w:r>
      <w:r>
        <w:rPr>
          <w:rFonts w:ascii="Times New Roman" w:hAnsi="Times New Roman"/>
          <w:outline w:val="0"/>
          <w:color w:val="323e4f"/>
          <w:sz w:val="20"/>
          <w:szCs w:val="20"/>
          <w:u w:color="323e4f"/>
          <w:rtl w:val="0"/>
          <w:lang w:val="it-IT"/>
          <w14:textFill>
            <w14:solidFill>
              <w14:srgbClr w14:val="323E4F"/>
            </w14:solidFill>
          </w14:textFill>
        </w:rPr>
        <w:t>su richiesta del segnalante, mediante incontro con il RPCT da richiedere secondo le modalit</w:t>
      </w:r>
      <w:r>
        <w:rPr>
          <w:rFonts w:ascii="Times New Roman" w:hAnsi="Times New Roman" w:hint="default"/>
          <w:outline w:val="0"/>
          <w:color w:val="323e4f"/>
          <w:sz w:val="20"/>
          <w:szCs w:val="20"/>
          <w:u w:color="323e4f"/>
          <w:rtl w:val="0"/>
          <w:lang w:val="it-IT"/>
          <w14:textFill>
            <w14:solidFill>
              <w14:srgbClr w14:val="323E4F"/>
            </w14:solidFill>
          </w14:textFill>
        </w:rPr>
        <w:t xml:space="preserve">à </w:t>
      </w:r>
      <w:r>
        <w:rPr>
          <w:rFonts w:ascii="Times New Roman" w:hAnsi="Times New Roman"/>
          <w:outline w:val="0"/>
          <w:color w:val="323e4f"/>
          <w:sz w:val="20"/>
          <w:szCs w:val="20"/>
          <w:u w:color="323e4f"/>
          <w:rtl w:val="0"/>
          <w:lang w:val="it-IT"/>
          <w14:textFill>
            <w14:solidFill>
              <w14:srgbClr w14:val="323E4F"/>
            </w14:solidFill>
          </w14:textFill>
        </w:rPr>
        <w:t>riportate nella Procedura PR n.05 di cui sotto.</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Resta ferma la possibilit</w:t>
      </w:r>
      <w:r>
        <w:rPr>
          <w:rFonts w:ascii="Times New Roman" w:hAnsi="Times New Roman" w:hint="default"/>
          <w:outline w:val="0"/>
          <w:color w:val="323e4f"/>
          <w:sz w:val="20"/>
          <w:szCs w:val="20"/>
          <w:u w:color="323e4f"/>
          <w:rtl w:val="0"/>
          <w:lang w:val="it-IT"/>
          <w14:textFill>
            <w14:solidFill>
              <w14:srgbClr w14:val="323E4F"/>
            </w14:solidFill>
          </w14:textFill>
        </w:rPr>
        <w:t xml:space="preserve">à </w:t>
      </w:r>
      <w:r>
        <w:rPr>
          <w:rFonts w:ascii="Times New Roman" w:hAnsi="Times New Roman"/>
          <w:outline w:val="0"/>
          <w:color w:val="323e4f"/>
          <w:sz w:val="20"/>
          <w:szCs w:val="20"/>
          <w:u w:color="323e4f"/>
          <w:rtl w:val="0"/>
          <w:lang w:val="it-IT"/>
          <w14:textFill>
            <w14:solidFill>
              <w14:srgbClr w14:val="323E4F"/>
            </w14:solidFill>
          </w14:textFill>
        </w:rPr>
        <w:t xml:space="preserve">per il segnalante, ai sensi del d.lgs. n.24/2023 e ricorrendo le condizioni ivi previste, di effettuare segnalazione esterna direttamente ad Anac </w:t>
      </w:r>
      <w:r>
        <w:rPr>
          <w:rStyle w:val="Hyperlink.2"/>
        </w:rPr>
        <w:fldChar w:fldCharType="begin" w:fldLock="0"/>
      </w:r>
      <w:r>
        <w:rPr>
          <w:rStyle w:val="Hyperlink.2"/>
        </w:rPr>
        <w:instrText xml:space="preserve"> HYPERLINK "http://www.anticorruzione.it"</w:instrText>
      </w:r>
      <w:r>
        <w:rPr>
          <w:rStyle w:val="Hyperlink.2"/>
        </w:rPr>
        <w:fldChar w:fldCharType="separate" w:fldLock="0"/>
      </w:r>
      <w:r>
        <w:rPr>
          <w:rStyle w:val="Hyperlink.2"/>
          <w:rtl w:val="0"/>
          <w:lang w:val="it-IT"/>
        </w:rPr>
        <w:t>www.anticorruzione.it</w:t>
      </w:r>
      <w:r>
        <w:rPr/>
        <w:fldChar w:fldCharType="end" w:fldLock="0"/>
      </w:r>
      <w:r>
        <w:rPr>
          <w:rFonts w:ascii="Times New Roman" w:hAnsi="Times New Roman"/>
          <w:outline w:val="0"/>
          <w:color w:val="323e4f"/>
          <w:sz w:val="20"/>
          <w:szCs w:val="20"/>
          <w:u w:color="323e4f"/>
          <w:rtl w:val="0"/>
          <w:lang w:val="it-IT"/>
          <w14:textFill>
            <w14:solidFill>
              <w14:srgbClr w14:val="323E4F"/>
            </w14:solidFill>
          </w14:textFill>
        </w:rPr>
        <w:t xml:space="preserve"> ovvero alle Autorit</w:t>
      </w:r>
      <w:r>
        <w:rPr>
          <w:rFonts w:ascii="Times New Roman" w:hAnsi="Times New Roman" w:hint="default"/>
          <w:outline w:val="0"/>
          <w:color w:val="323e4f"/>
          <w:sz w:val="20"/>
          <w:szCs w:val="20"/>
          <w:u w:color="323e4f"/>
          <w:rtl w:val="0"/>
          <w:lang w:val="it-IT"/>
          <w14:textFill>
            <w14:solidFill>
              <w14:srgbClr w14:val="323E4F"/>
            </w14:solidFill>
          </w14:textFill>
        </w:rPr>
        <w:t xml:space="preserve">à </w:t>
      </w:r>
      <w:r>
        <w:rPr>
          <w:rFonts w:ascii="Times New Roman" w:hAnsi="Times New Roman"/>
          <w:outline w:val="0"/>
          <w:color w:val="323e4f"/>
          <w:sz w:val="20"/>
          <w:szCs w:val="20"/>
          <w:u w:color="323e4f"/>
          <w:rtl w:val="0"/>
          <w:lang w:val="it-IT"/>
          <w14:textFill>
            <w14:solidFill>
              <w14:srgbClr w14:val="323E4F"/>
            </w14:solidFill>
          </w14:textFill>
        </w:rPr>
        <w:t>preposte.</w:t>
      </w: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p>
    <w:p>
      <w:pPr>
        <w:pStyle w:val="Normal.0"/>
        <w:jc w:val="both"/>
        <w:rPr>
          <w:rFonts w:ascii="Times New Roman" w:cs="Times New Roman" w:hAnsi="Times New Roman" w:eastAsia="Times New Roman"/>
          <w:outline w:val="0"/>
          <w:color w:val="323e4f"/>
          <w:sz w:val="20"/>
          <w:szCs w:val="20"/>
          <w:u w:color="323e4f"/>
          <w14:textFill>
            <w14:solidFill>
              <w14:srgbClr w14:val="323E4F"/>
            </w14:solidFill>
          </w14:textFill>
        </w:rPr>
      </w:pPr>
      <w:r>
        <w:rPr>
          <w:rFonts w:ascii="Times New Roman" w:hAnsi="Times New Roman"/>
          <w:outline w:val="0"/>
          <w:color w:val="323e4f"/>
          <w:sz w:val="20"/>
          <w:szCs w:val="20"/>
          <w:u w:color="323e4f"/>
          <w:rtl w:val="0"/>
          <w:lang w:val="it-IT"/>
          <w14:textFill>
            <w14:solidFill>
              <w14:srgbClr w14:val="323E4F"/>
            </w14:solidFill>
          </w14:textFill>
        </w:rPr>
        <w:t xml:space="preserve">Procedura PR n.05 </w:t>
      </w:r>
      <w:r>
        <w:rPr>
          <w:rFonts w:ascii="Times New Roman" w:hAnsi="Times New Roman" w:hint="default"/>
          <w:outline w:val="0"/>
          <w:color w:val="323e4f"/>
          <w:sz w:val="20"/>
          <w:szCs w:val="20"/>
          <w:u w:color="323e4f"/>
          <w:rtl w:val="0"/>
          <w:lang w:val="it-IT"/>
          <w14:textFill>
            <w14:solidFill>
              <w14:srgbClr w14:val="323E4F"/>
            </w14:solidFill>
          </w14:textFill>
        </w:rPr>
        <w:t>“</w:t>
      </w:r>
      <w:r>
        <w:rPr>
          <w:rFonts w:ascii="Times New Roman" w:hAnsi="Times New Roman"/>
          <w:outline w:val="0"/>
          <w:color w:val="323e4f"/>
          <w:sz w:val="20"/>
          <w:szCs w:val="20"/>
          <w:u w:color="323e4f"/>
          <w:rtl w:val="0"/>
          <w:lang w:val="it-IT"/>
          <w14:textFill>
            <w14:solidFill>
              <w14:srgbClr w14:val="323E4F"/>
            </w14:solidFill>
          </w14:textFill>
        </w:rPr>
        <w:t xml:space="preserve">Gestione della segnalazione di illeciti </w:t>
      </w:r>
      <w:r>
        <w:rPr>
          <w:rFonts w:ascii="Times New Roman" w:hAnsi="Times New Roman" w:hint="default"/>
          <w:outline w:val="0"/>
          <w:color w:val="323e4f"/>
          <w:sz w:val="20"/>
          <w:szCs w:val="20"/>
          <w:u w:color="323e4f"/>
          <w:rtl w:val="0"/>
          <w:lang w:val="it-IT"/>
          <w14:textFill>
            <w14:solidFill>
              <w14:srgbClr w14:val="323E4F"/>
            </w14:solidFill>
          </w14:textFill>
        </w:rPr>
        <w:t xml:space="preserve">– </w:t>
      </w:r>
      <w:r>
        <w:rPr>
          <w:rFonts w:ascii="Times New Roman" w:hAnsi="Times New Roman"/>
          <w:outline w:val="0"/>
          <w:color w:val="323e4f"/>
          <w:sz w:val="20"/>
          <w:szCs w:val="20"/>
          <w:u w:color="323e4f"/>
          <w:rtl w:val="0"/>
          <w:lang w:val="it-IT"/>
          <w14:textFill>
            <w14:solidFill>
              <w14:srgbClr w14:val="323E4F"/>
            </w14:solidFill>
          </w14:textFill>
        </w:rPr>
        <w:t>Whistleblowing</w:t>
      </w:r>
      <w:r>
        <w:rPr>
          <w:rFonts w:ascii="Times New Roman" w:hAnsi="Times New Roman" w:hint="default"/>
          <w:outline w:val="0"/>
          <w:color w:val="323e4f"/>
          <w:sz w:val="20"/>
          <w:szCs w:val="20"/>
          <w:u w:color="323e4f"/>
          <w:rtl w:val="0"/>
          <w:lang w:val="it-IT"/>
          <w14:textFill>
            <w14:solidFill>
              <w14:srgbClr w14:val="323E4F"/>
            </w14:solidFill>
          </w14:textFill>
        </w:rPr>
        <w:t xml:space="preserve">” </w:t>
      </w:r>
      <w:r>
        <w:rPr>
          <w:rFonts w:ascii="Times New Roman" w:hAnsi="Times New Roman"/>
          <w:outline w:val="0"/>
          <w:color w:val="323e4f"/>
          <w:sz w:val="20"/>
          <w:szCs w:val="20"/>
          <w:u w:color="323e4f"/>
          <w:rtl w:val="0"/>
          <w:lang w:val="it-IT"/>
          <w14:textFill>
            <w14:solidFill>
              <w14:srgbClr w14:val="323E4F"/>
            </w14:solidFill>
          </w14:textFill>
        </w:rPr>
        <w:t>scaricabile al link:</w:t>
      </w:r>
    </w:p>
    <w:p>
      <w:pPr>
        <w:pStyle w:val="Normal.0"/>
        <w:rPr>
          <w:rFonts w:ascii="Aptos" w:cs="Aptos" w:hAnsi="Aptos" w:eastAsia="Aptos"/>
          <w:sz w:val="18"/>
          <w:szCs w:val="18"/>
        </w:rPr>
      </w:pPr>
      <w:r>
        <w:rPr>
          <w:rStyle w:val="Link"/>
          <w:sz w:val="18"/>
          <w:szCs w:val="18"/>
        </w:rPr>
        <w:fldChar w:fldCharType="begin" w:fldLock="0"/>
      </w:r>
      <w:r>
        <w:rPr>
          <w:rStyle w:val="Link"/>
          <w:sz w:val="18"/>
          <w:szCs w:val="18"/>
        </w:rPr>
        <w:instrText xml:space="preserve"> HYPERLINK "https://www.paviaacque.it/wp-content/uploads/2026/02/Procedura_WB_Rev.5-12.02.2026_DEFINITIVA.pdf"</w:instrText>
      </w:r>
      <w:r>
        <w:rPr>
          <w:rStyle w:val="Link"/>
          <w:sz w:val="18"/>
          <w:szCs w:val="18"/>
        </w:rPr>
        <w:fldChar w:fldCharType="separate" w:fldLock="0"/>
      </w:r>
      <w:r>
        <w:rPr>
          <w:rStyle w:val="Link"/>
          <w:sz w:val="18"/>
          <w:szCs w:val="18"/>
          <w:rtl w:val="0"/>
          <w:lang w:val="it-IT"/>
        </w:rPr>
        <w:t>https://www.paviaacque.it/wp-content/uploads/2026/02/Procedura_WB_Rev.5-12.02.2026_DEFINITIVA.pdf</w:t>
      </w:r>
      <w:r>
        <w:rPr>
          <w:sz w:val="18"/>
          <w:szCs w:val="18"/>
        </w:rPr>
        <w:fldChar w:fldCharType="end" w:fldLock="0"/>
      </w:r>
    </w:p>
    <w:p>
      <w:pPr>
        <w:pStyle w:val="Normal.0"/>
        <w:jc w:val="both"/>
        <w:rPr>
          <w:rFonts w:ascii="Times New Roman" w:cs="Times New Roman" w:hAnsi="Times New Roman" w:eastAsia="Times New Roman"/>
          <w:i w:val="1"/>
          <w:iCs w:val="1"/>
          <w:outline w:val="0"/>
          <w:color w:val="323e4f"/>
          <w:sz w:val="20"/>
          <w:szCs w:val="20"/>
          <w:u w:color="323e4f"/>
          <w14:textFill>
            <w14:solidFill>
              <w14:srgbClr w14:val="323E4F"/>
            </w14:solidFill>
          </w14:textFill>
        </w:rPr>
      </w:pPr>
    </w:p>
    <w:p>
      <w:pPr>
        <w:pStyle w:val="Normal.0"/>
        <w:jc w:val="both"/>
        <w:rPr>
          <w:rFonts w:ascii="Times New Roman" w:cs="Times New Roman" w:hAnsi="Times New Roman" w:eastAsia="Times New Roman"/>
          <w:i w:val="1"/>
          <w:iCs w:val="1"/>
          <w:outline w:val="0"/>
          <w:color w:val="323e4f"/>
          <w:sz w:val="20"/>
          <w:szCs w:val="20"/>
          <w:u w:color="323e4f"/>
          <w14:textFill>
            <w14:solidFill>
              <w14:srgbClr w14:val="323E4F"/>
            </w14:solidFill>
          </w14:textFill>
        </w:rPr>
      </w:pPr>
    </w:p>
    <w:p>
      <w:pPr>
        <w:pStyle w:val="Normal.0"/>
        <w:jc w:val="both"/>
      </w:pPr>
      <w:r>
        <w:rPr>
          <w:rFonts w:ascii="Times New Roman" w:hAnsi="Times New Roman"/>
          <w:i w:val="1"/>
          <w:iCs w:val="1"/>
          <w:outline w:val="0"/>
          <w:color w:val="323e4f"/>
          <w:sz w:val="20"/>
          <w:szCs w:val="20"/>
          <w:u w:color="323e4f"/>
          <w:rtl w:val="0"/>
          <w:lang w:val="it-IT"/>
          <w14:textFill>
            <w14:solidFill>
              <w14:srgbClr w14:val="323E4F"/>
            </w14:solidFill>
          </w14:textFill>
        </w:rPr>
        <w:t xml:space="preserve">Informativa privacy disponibile al seguente link: </w:t>
      </w:r>
      <w:r>
        <w:rPr>
          <w:rStyle w:val="Hyperlink.3"/>
        </w:rPr>
        <w:fldChar w:fldCharType="begin" w:fldLock="0"/>
      </w:r>
      <w:r>
        <w:rPr>
          <w:rStyle w:val="Hyperlink.3"/>
        </w:rPr>
        <w:instrText xml:space="preserve"> HYPERLINK "https://www.paviaacque.it/wp-content/uploads/2022/02/Whistleblowing_informativa_privacy_022022.pdf"</w:instrText>
      </w:r>
      <w:r>
        <w:rPr>
          <w:rStyle w:val="Hyperlink.3"/>
        </w:rPr>
        <w:fldChar w:fldCharType="separate" w:fldLock="0"/>
      </w:r>
      <w:r>
        <w:rPr>
          <w:rStyle w:val="Hyperlink.3"/>
          <w:rtl w:val="0"/>
          <w:lang w:val="it-IT"/>
        </w:rPr>
        <w:t>https://www.paviaacque.it/wp-content/uploads/2022/02/Whistleblowing_informativa_privacy_022022.pdf</w:t>
      </w:r>
      <w:r>
        <w:rPr/>
        <w:fldChar w:fldCharType="end" w:fldLock="0"/>
      </w:r>
      <w:r>
        <w:rPr>
          <w:i w:val="1"/>
          <w:iCs w:val="1"/>
        </w:rPr>
        <w:tab/>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pPr>
    <w:r>
      <w:rPr>
        <w:i w:val="1"/>
        <w:iCs w:val="1"/>
        <w:rtl w:val="0"/>
        <w:lang w:val="it-IT"/>
      </w:rPr>
      <w:t>Rev. del 11/02/2026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drawing xmlns:a="http://schemas.openxmlformats.org/drawingml/2006/main">
        <wp:inline distT="0" distB="0" distL="0" distR="0">
          <wp:extent cx="1523934" cy="1014825"/>
          <wp:effectExtent l="0" t="0" r="0" b="0"/>
          <wp:docPr id="1073741825" name="officeArt object" descr="Immagine 4"/>
          <wp:cNvGraphicFramePr/>
          <a:graphic xmlns:a="http://schemas.openxmlformats.org/drawingml/2006/main">
            <a:graphicData uri="http://schemas.openxmlformats.org/drawingml/2006/picture">
              <pic:pic xmlns:pic="http://schemas.openxmlformats.org/drawingml/2006/picture">
                <pic:nvPicPr>
                  <pic:cNvPr id="1073741825" name="Immagine 4" descr="Immagine 4"/>
                  <pic:cNvPicPr>
                    <a:picLocks noChangeAspect="1"/>
                  </pic:cNvPicPr>
                </pic:nvPicPr>
                <pic:blipFill>
                  <a:blip r:embed="rId1">
                    <a:extLst/>
                  </a:blip>
                  <a:stretch>
                    <a:fillRect/>
                  </a:stretch>
                </pic:blipFill>
                <pic:spPr>
                  <a:xfrm>
                    <a:off x="0" y="0"/>
                    <a:ext cx="1523934" cy="101482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8"/>
      <w:szCs w:val="48"/>
      <w:u w:val="none" w:color="000000"/>
      <w:shd w:val="nil" w:color="auto" w:fill="auto"/>
      <w:vertAlign w:val="baseline"/>
      <w:lang w:val="it-IT"/>
      <w14:textFill>
        <w14:solidFill>
          <w14:srgbClr w14:val="000000"/>
        </w14:solidFill>
      </w14:textFill>
    </w:rPr>
  </w:style>
  <w:style w:type="paragraph" w:styleId="done">
    <w:name w:val="done"/>
    <w:next w:val="do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323e4f"/>
      <w:spacing w:val="2"/>
      <w:sz w:val="20"/>
      <w:szCs w:val="20"/>
      <w:u w:val="none" w:color="323e4f"/>
      <w14:textFill>
        <w14:solidFill>
          <w14:srgbClr w14:val="323E4F"/>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character" w:styleId="Hyperlink.1">
    <w:name w:val="Hyperlink.1"/>
    <w:basedOn w:val="Link"/>
    <w:next w:val="Hyperlink.1"/>
    <w:rPr>
      <w:rFonts w:ascii="Times New Roman" w:cs="Times New Roman" w:hAnsi="Times New Roman" w:eastAsia="Times New Roman"/>
      <w:b w:val="1"/>
      <w:bCs w:val="1"/>
      <w:outline w:val="0"/>
      <w:color w:val="323e4f"/>
      <w:sz w:val="20"/>
      <w:szCs w:val="20"/>
      <w:u w:color="323e4f"/>
      <w14:textFill>
        <w14:solidFill>
          <w14:srgbClr w14:val="323E4F"/>
        </w14:solidFill>
      </w14:textFill>
    </w:rPr>
  </w:style>
  <w:style w:type="character" w:styleId="Hyperlink.2">
    <w:name w:val="Hyperlink.2"/>
    <w:basedOn w:val="Link"/>
    <w:next w:val="Hyperlink.2"/>
    <w:rPr>
      <w:rFonts w:ascii="Times New Roman" w:cs="Times New Roman" w:hAnsi="Times New Roman" w:eastAsia="Times New Roman"/>
      <w:sz w:val="20"/>
      <w:szCs w:val="20"/>
    </w:rPr>
  </w:style>
  <w:style w:type="character" w:styleId="Hyperlink.3">
    <w:name w:val="Hyperlink.3"/>
    <w:basedOn w:val="Link"/>
    <w:next w:val="Hyperlink.3"/>
    <w:rPr>
      <w:rFonts w:ascii="Times New Roman" w:cs="Times New Roman" w:hAnsi="Times New Roman" w:eastAsia="Times New Roman"/>
      <w:i w:val="1"/>
      <w:iCs w:val="1"/>
      <w:outline w:val="0"/>
      <w:color w:val="323e4f"/>
      <w:sz w:val="20"/>
      <w:szCs w:val="20"/>
      <w:u w:color="323e4f"/>
      <w14:textFill>
        <w14:solidFill>
          <w14:srgbClr w14:val="323E4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